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A1" w:rsidRDefault="00A24EA1" w:rsidP="00A24EA1">
      <w:pPr>
        <w:autoSpaceDE w:val="0"/>
        <w:autoSpaceDN w:val="0"/>
        <w:adjustRightInd w:val="0"/>
        <w:ind w:right="19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Регламенту </w:t>
      </w:r>
    </w:p>
    <w:p w:rsidR="00A24EA1" w:rsidRDefault="00A24EA1" w:rsidP="00A24EA1">
      <w:pPr>
        <w:autoSpaceDE w:val="0"/>
        <w:autoSpaceDN w:val="0"/>
        <w:adjustRightInd w:val="0"/>
        <w:ind w:right="19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A24EA1" w:rsidRDefault="00A24EA1" w:rsidP="00A24EA1">
      <w:pPr>
        <w:autoSpaceDE w:val="0"/>
        <w:autoSpaceDN w:val="0"/>
        <w:adjustRightInd w:val="0"/>
        <w:ind w:right="19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</w:p>
    <w:p w:rsidR="00A24EA1" w:rsidRDefault="00A24EA1" w:rsidP="00EF057D">
      <w:pPr>
        <w:autoSpaceDE w:val="0"/>
        <w:autoSpaceDN w:val="0"/>
        <w:adjustRightInd w:val="0"/>
        <w:ind w:right="19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(в ред. от 25.06.2021г.) </w:t>
      </w:r>
    </w:p>
    <w:p w:rsidR="00E13BC3" w:rsidRDefault="00E13BC3" w:rsidP="00EF057D">
      <w:pPr>
        <w:autoSpaceDE w:val="0"/>
        <w:autoSpaceDN w:val="0"/>
        <w:adjustRightInd w:val="0"/>
        <w:ind w:right="193" w:firstLine="709"/>
        <w:jc w:val="right"/>
        <w:rPr>
          <w:sz w:val="28"/>
          <w:szCs w:val="28"/>
        </w:rPr>
      </w:pPr>
    </w:p>
    <w:p w:rsidR="00A24EA1" w:rsidRDefault="00A24EA1" w:rsidP="00EF057D">
      <w:pPr>
        <w:autoSpaceDE w:val="0"/>
        <w:autoSpaceDN w:val="0"/>
        <w:adjustRightInd w:val="0"/>
        <w:ind w:right="19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деятельности Контрольно-счетной палаты, закрепление за заместителем председателя, аудиторами Контрольно-счетной палаты главных администраторов бюджетных средств</w:t>
      </w:r>
    </w:p>
    <w:p w:rsidR="00A24EA1" w:rsidRDefault="00A24EA1" w:rsidP="00EF057D">
      <w:pPr>
        <w:autoSpaceDE w:val="0"/>
        <w:autoSpaceDN w:val="0"/>
        <w:adjustRightInd w:val="0"/>
        <w:ind w:right="193" w:firstLine="709"/>
        <w:jc w:val="both"/>
        <w:rPr>
          <w:sz w:val="28"/>
          <w:szCs w:val="28"/>
        </w:rPr>
      </w:pPr>
    </w:p>
    <w:p w:rsidR="00A24EA1" w:rsidRPr="00A24EA1" w:rsidRDefault="00A24EA1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1-го направления деятельности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Аудитор, возглавляющий данное направление деятельности, в соответствии с планом деятельности Контрольно-счетной палаты организует контрольную и экспертно-аналитическую деятельность, обеспечивающую осуществление государственного внешнего контроля: 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за исполнением бюджета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законностью, результативностью (эффективностью и экономностью) использования межбюджетных трансфертов, предоставленных из бюджета Курганской области бюджетам муниципальных образований;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законностью, результативностью (эффективностью и экономностью) использования средств бюджета Курганской области по следующим разделам: общегосударственные вопросы; национальная экономика; охрана окружающей среды; национальная безопасность и правоохранительная деятельность; образование; средства массовой информации;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законностью, результативностью (эффективностью и экономностью) использования средств бюджета Курганской области следующими главными администраторами бюджетных средств (с учетом их подведомственных учреждений):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Курганская областная Дума;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Контрольно-счетная палата Курганской области;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управление Курганской области;           </w:t>
      </w:r>
    </w:p>
    <w:p w:rsidR="00EF057D" w:rsidRDefault="00EF057D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 w:rsidRPr="00EF057D">
        <w:rPr>
          <w:sz w:val="28"/>
          <w:szCs w:val="28"/>
        </w:rPr>
        <w:t>-  Управление ветеринарии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Избирательная комиссия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природных ресурсов и охраны окружающей среды Курганской области;</w:t>
      </w:r>
    </w:p>
    <w:p w:rsidR="00A24EA1" w:rsidRPr="00A431B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 w:rsidRPr="00A431B1">
        <w:rPr>
          <w:sz w:val="28"/>
          <w:szCs w:val="28"/>
        </w:rPr>
        <w:t>- Департамент образования и науки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 w:rsidRPr="00A431B1">
        <w:rPr>
          <w:sz w:val="28"/>
          <w:szCs w:val="28"/>
        </w:rPr>
        <w:t xml:space="preserve">- </w:t>
      </w:r>
      <w:r w:rsidR="00A431B1" w:rsidRPr="00A431B1">
        <w:rPr>
          <w:sz w:val="28"/>
          <w:szCs w:val="28"/>
        </w:rPr>
        <w:t>Комитет по делам архивов</w:t>
      </w:r>
      <w:r w:rsidRPr="00A431B1">
        <w:rPr>
          <w:sz w:val="28"/>
          <w:szCs w:val="28"/>
        </w:rPr>
        <w:t xml:space="preserve"> Курганской области.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 данного направления </w:t>
      </w:r>
      <w:proofErr w:type="gramStart"/>
      <w:r>
        <w:rPr>
          <w:sz w:val="28"/>
          <w:szCs w:val="28"/>
        </w:rPr>
        <w:t>по  распоряжению</w:t>
      </w:r>
      <w:proofErr w:type="gramEnd"/>
      <w:r>
        <w:rPr>
          <w:sz w:val="28"/>
          <w:szCs w:val="28"/>
        </w:rPr>
        <w:t xml:space="preserve"> или в соответствии с резолюцией, визой председателя Контрольно-счетной палаты, заместителя председателя Контрольно-счетной палаты на входящие документы может осуществлять организацию контрольных и экспертно-аналитических мероприятий 2, 3  и экспертно-аналитического направлений.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center"/>
        <w:rPr>
          <w:sz w:val="28"/>
          <w:szCs w:val="28"/>
        </w:rPr>
      </w:pPr>
    </w:p>
    <w:p w:rsidR="00EF057D" w:rsidRDefault="00EF057D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2-го направления деятельности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Аудитор, возглавляющий данное направление деятельности, в соответствии с планом деятельности Контрольно-счетной палаты организует контрольную и экспертно-аналитическую деятельность, обеспечивающую осуществление государственного внешнего контроля: 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исполнением бюджета территориального фонда обязательного медицинского страхования;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законностью, результативностью (эффективностью и экономностью) использования межбюджетных трансфертов, предоставленных из бюджета Курганской области бюджетам муниципальных образований;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законностью, результативностью (эффективностью и экономностью) использования средств бюджета Курганской области по следующим разделам: общегосударственные вопросы; национальная экономика; жилищно-коммунальное хозяйство; здравоохранение; культура, кинематография;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законностью, результативностью (эффективностью и экономностью) использования средств бюджета Курганской области следующими главными администраторами бюджетных средств (с учетом их подведомственных учреждений):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агропромышленного комплекса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жилищная инспекция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обеспечению деятельности мировых судей в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Главное управление по труду и занятости населения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Управление культуры </w:t>
      </w:r>
      <w:proofErr w:type="gramStart"/>
      <w:r>
        <w:rPr>
          <w:sz w:val="28"/>
          <w:szCs w:val="28"/>
        </w:rPr>
        <w:t>Курганской  области</w:t>
      </w:r>
      <w:proofErr w:type="gramEnd"/>
      <w:r>
        <w:rPr>
          <w:sz w:val="28"/>
          <w:szCs w:val="28"/>
        </w:rPr>
        <w:t>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 строительства,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и жилищно-коммунального хозяйства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 здравоохранения Курганской области;                                                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 государственного регулирования цен и тарифов Курганской области.                                                                                               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 данного направления </w:t>
      </w:r>
      <w:proofErr w:type="gramStart"/>
      <w:r>
        <w:rPr>
          <w:sz w:val="28"/>
          <w:szCs w:val="28"/>
        </w:rPr>
        <w:t>по  распоряжению</w:t>
      </w:r>
      <w:proofErr w:type="gramEnd"/>
      <w:r>
        <w:rPr>
          <w:sz w:val="28"/>
          <w:szCs w:val="28"/>
        </w:rPr>
        <w:t xml:space="preserve"> или в соответствии с резолюцией, визой председателя Контрольно-счетной палаты, заместителя председателя Контрольно-счетной палаты на входящие документы может осуществлять организацию контрольных и экспертно-аналитических мероприятий 1, 3 и экспертно-аналитического направлений.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</w:p>
    <w:p w:rsidR="00EF057D" w:rsidRDefault="00EF057D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3-го направления деятельности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председателя, возглавляющий данное направление деятельности, в соответствии с планом деятельности Контрольно-счетной палаты организует контрольную и экспертно-аналитическую деятельность, обеспечивающую осуществление государственного внешнего контроля: 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установленного порядка управления и распоряжения имуществом, находящимся в государственной собственности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законностью, результативностью (эффективностью и экономностью) использования межбюджетных трансфертов, предоставленных из бюджета Курганской области бюджетам муниципальных образований;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законностью, результативностью (эффективностью и экономностью) использования средств бюджета Курганской области по следующим разделам: общегосударственные вопросы; национальная экономика; национальная безопасность и правоохранительная деятельность; физическая культура и спорт; социальная политика;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законностью, результативностью (эффективностью и экономностью) использования средств бюджета Курганской области следующими главными администраторами бюджетных средств (с учетом их подведомственных учреждений):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Правительство Курганской области;                                                            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экономического развития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имущественных и земельных отношений Курганской области;</w:t>
      </w:r>
    </w:p>
    <w:p w:rsidR="00EF057D" w:rsidRDefault="00EF057D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 w:rsidRPr="00EF057D">
        <w:rPr>
          <w:sz w:val="28"/>
          <w:szCs w:val="28"/>
        </w:rPr>
        <w:t>- Управление записи актов гражданского состояния Курганской области;</w:t>
      </w:r>
    </w:p>
    <w:p w:rsidR="00A24EA1" w:rsidRDefault="00A24EA1" w:rsidP="009D509E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-Управление по физической культуре</w:t>
      </w:r>
      <w:r w:rsidR="00E41D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спорту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Главное управление социальной защиты населения Курганской области;                                                                                                          </w:t>
      </w:r>
    </w:p>
    <w:p w:rsidR="00A431B1" w:rsidRPr="00293D6B" w:rsidRDefault="00A431B1" w:rsidP="00A431B1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 w:rsidRPr="00293D6B">
        <w:rPr>
          <w:sz w:val="28"/>
          <w:szCs w:val="28"/>
        </w:rPr>
        <w:t>- Департамент информационных технологий и цифрового развития Курганской области</w:t>
      </w:r>
    </w:p>
    <w:p w:rsidR="00A431B1" w:rsidRPr="00293D6B" w:rsidRDefault="00A431B1" w:rsidP="00A431B1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 w:rsidRPr="00293D6B">
        <w:rPr>
          <w:sz w:val="28"/>
          <w:szCs w:val="28"/>
        </w:rPr>
        <w:t>-  Департамент информационной и внутренней политики Курганской области.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данного направления </w:t>
      </w:r>
      <w:proofErr w:type="gramStart"/>
      <w:r>
        <w:rPr>
          <w:sz w:val="28"/>
          <w:szCs w:val="28"/>
        </w:rPr>
        <w:t>по  распоряжению</w:t>
      </w:r>
      <w:proofErr w:type="gramEnd"/>
      <w:r>
        <w:rPr>
          <w:sz w:val="28"/>
          <w:szCs w:val="28"/>
        </w:rPr>
        <w:t xml:space="preserve"> или в соответствии с резолюцией, визой председателя Контрольно-счетной палаты, заместителя председателя Контрольно-счетной палаты на входящие документы может осуществлять организацию контрольных и экспертно-аналитических мероприятий 1, 2  и экспертно-аналитического направлений.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</w:p>
    <w:p w:rsidR="00E41DA7" w:rsidRDefault="00E41DA7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</w:p>
    <w:p w:rsidR="00077927" w:rsidRDefault="00077927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экспертно-аналитического направления деятельности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Аудитор, возглавляющий данное направление деятельности, в соответствии с планом деятельности Контрольно-счетной палаты </w:t>
      </w:r>
      <w:proofErr w:type="gramStart"/>
      <w:r>
        <w:rPr>
          <w:sz w:val="28"/>
          <w:szCs w:val="28"/>
        </w:rPr>
        <w:t>организует  экспертно</w:t>
      </w:r>
      <w:proofErr w:type="gramEnd"/>
      <w:r>
        <w:rPr>
          <w:sz w:val="28"/>
          <w:szCs w:val="28"/>
        </w:rPr>
        <w:t>-аналитическую деятельность, посредством которой обеспечивается реализация задач и полномочий Контрольно-счетной палаты в сфере государственного финансового контроля у следующих главных администраторов бюджетных средств (с учетом их подведомственных учреждений):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Курганская областная Дума;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Контрольно-счетная палата Курганской области;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управление Курганской области;         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записи актов гражданского состояния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Избирательная комиссия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природных ресурсов и охраны окружающей среды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здравоохранения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образования и науки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1B1">
        <w:rPr>
          <w:sz w:val="28"/>
          <w:szCs w:val="28"/>
        </w:rPr>
        <w:t>Комитет по делам архивов</w:t>
      </w:r>
      <w:r>
        <w:rPr>
          <w:sz w:val="28"/>
          <w:szCs w:val="28"/>
        </w:rPr>
        <w:t xml:space="preserve">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агропромышленного комплекса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жилищная инспекция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обеспечению деятельности мировых судей в Курганской области;</w:t>
      </w:r>
    </w:p>
    <w:p w:rsidR="00A24EA1" w:rsidRDefault="00A24EA1" w:rsidP="00EF057D">
      <w:pPr>
        <w:tabs>
          <w:tab w:val="left" w:pos="1134"/>
        </w:tabs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Главное управление по труду и занятости населения Курганской области;</w:t>
      </w:r>
    </w:p>
    <w:p w:rsidR="00A24EA1" w:rsidRDefault="00A24EA1" w:rsidP="00EF057D">
      <w:pPr>
        <w:tabs>
          <w:tab w:val="left" w:pos="1134"/>
        </w:tabs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Управление культуры </w:t>
      </w:r>
      <w:proofErr w:type="gramStart"/>
      <w:r>
        <w:rPr>
          <w:sz w:val="28"/>
          <w:szCs w:val="28"/>
        </w:rPr>
        <w:t>Курганской  области</w:t>
      </w:r>
      <w:proofErr w:type="gramEnd"/>
      <w:r>
        <w:rPr>
          <w:sz w:val="28"/>
          <w:szCs w:val="28"/>
        </w:rPr>
        <w:t>;</w:t>
      </w:r>
    </w:p>
    <w:p w:rsidR="00A24EA1" w:rsidRDefault="00A24EA1" w:rsidP="00EF057D">
      <w:pPr>
        <w:tabs>
          <w:tab w:val="left" w:pos="1134"/>
        </w:tabs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-Департамент строительства,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и жилищно-коммунального хозяйства Курганской области;                                                  </w:t>
      </w:r>
    </w:p>
    <w:p w:rsidR="00A24EA1" w:rsidRDefault="00A24EA1" w:rsidP="00EF057D">
      <w:pPr>
        <w:tabs>
          <w:tab w:val="left" w:pos="1134"/>
        </w:tabs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Главное управление социальной защиты населения Курганской области;</w:t>
      </w:r>
    </w:p>
    <w:p w:rsidR="00A24EA1" w:rsidRDefault="00A24EA1" w:rsidP="00EF057D">
      <w:pPr>
        <w:tabs>
          <w:tab w:val="left" w:pos="1134"/>
        </w:tabs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 w:rsidRPr="00BB7BC8">
        <w:rPr>
          <w:sz w:val="28"/>
          <w:szCs w:val="28"/>
        </w:rPr>
        <w:t>- Департамент государственного регулирования цен и тарифов Курганской области;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Правительство Курганской области;                                                            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экономического развития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имущественных и земельных отношений Курганской области;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ветеринарии Курганской области;</w:t>
      </w:r>
    </w:p>
    <w:p w:rsidR="00D07902" w:rsidRPr="00BB7BC8" w:rsidRDefault="00A24EA1" w:rsidP="00BB7BC8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-Управление по физической культуре</w:t>
      </w:r>
      <w:r w:rsidR="00E41D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спорту </w:t>
      </w:r>
      <w:bookmarkStart w:id="0" w:name="_GoBack"/>
      <w:bookmarkEnd w:id="0"/>
      <w:r>
        <w:rPr>
          <w:sz w:val="28"/>
          <w:szCs w:val="28"/>
        </w:rPr>
        <w:t>Курганской области;</w:t>
      </w:r>
      <w:r w:rsidRPr="006C5C97">
        <w:rPr>
          <w:sz w:val="28"/>
          <w:szCs w:val="28"/>
          <w:highlight w:val="yellow"/>
        </w:rPr>
        <w:t xml:space="preserve">     </w:t>
      </w:r>
    </w:p>
    <w:p w:rsidR="00D07902" w:rsidRPr="00A431B1" w:rsidRDefault="00D07902" w:rsidP="00D07902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31B1">
        <w:rPr>
          <w:sz w:val="28"/>
          <w:szCs w:val="28"/>
        </w:rPr>
        <w:t>Департамент информационных технологий и цифрового развития Курганской области</w:t>
      </w:r>
      <w:r w:rsidR="00077927">
        <w:rPr>
          <w:sz w:val="28"/>
          <w:szCs w:val="28"/>
        </w:rPr>
        <w:t>;</w:t>
      </w:r>
    </w:p>
    <w:p w:rsidR="00A24EA1" w:rsidRPr="00077927" w:rsidRDefault="00D07902" w:rsidP="00077927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A431B1">
        <w:rPr>
          <w:sz w:val="28"/>
          <w:szCs w:val="28"/>
        </w:rPr>
        <w:t xml:space="preserve"> Департамент информационной и внутренней политики Курганской </w:t>
      </w:r>
      <w:r w:rsidRPr="00BB7BC8">
        <w:rPr>
          <w:sz w:val="28"/>
          <w:szCs w:val="28"/>
        </w:rPr>
        <w:t>области.</w:t>
      </w:r>
      <w:r w:rsidR="00A24EA1" w:rsidRPr="00BB7BC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24EA1" w:rsidRDefault="00A24EA1" w:rsidP="00EF057D">
      <w:pPr>
        <w:autoSpaceDE w:val="0"/>
        <w:autoSpaceDN w:val="0"/>
        <w:adjustRightInd w:val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объектами экспертно-аналитических мероприятий могут являться органы местного самоуправления, органы управления территориальным государственным внебюджетным фондом, организации, учреждения и иные юридические лица, на которые в рамках предмета экспертно-аналитического мероприятия распространяются контрольные полномочия Контрольно-счетной палаты, установленные Бюджетным кодексом Российской Федерации, иными законодательными и нормативными правовыми актами Российской Федерации и Курганской области.</w:t>
      </w:r>
    </w:p>
    <w:p w:rsidR="00BA00F4" w:rsidRDefault="00BA00F4"/>
    <w:sectPr w:rsidR="00BA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A1"/>
    <w:rsid w:val="00077927"/>
    <w:rsid w:val="000E5762"/>
    <w:rsid w:val="00293D6B"/>
    <w:rsid w:val="006C5C97"/>
    <w:rsid w:val="009D509E"/>
    <w:rsid w:val="00A24EA1"/>
    <w:rsid w:val="00A431B1"/>
    <w:rsid w:val="00AC3AA9"/>
    <w:rsid w:val="00BA00F4"/>
    <w:rsid w:val="00BB7BC8"/>
    <w:rsid w:val="00D07902"/>
    <w:rsid w:val="00E13BC3"/>
    <w:rsid w:val="00E41DA7"/>
    <w:rsid w:val="00E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70D4"/>
  <w15:chartTrackingRefBased/>
  <w15:docId w15:val="{0C152834-DAED-49A1-8BEE-CD9E509A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13</cp:revision>
  <dcterms:created xsi:type="dcterms:W3CDTF">2021-06-24T12:22:00Z</dcterms:created>
  <dcterms:modified xsi:type="dcterms:W3CDTF">2021-07-01T12:42:00Z</dcterms:modified>
</cp:coreProperties>
</file>